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299</w:t>
      </w:r>
    </w:p>
    <w:p>
      <w:r>
        <w:t>Bundesgericht (BGE), 2019-07-10, DE</w:t>
      </w:r>
    </w:p>
    <w:p>
      <w:r>
        <w:rPr>
          <w:b/>
        </w:rPr>
        <w:t xml:space="preserve">Quelle: </w:t>
      </w:r>
      <w:r>
        <w:t>https://mcp.opencaselaw.ch/entscheid/bge_145 III 299</w:t>
      </w:r>
    </w:p>
    <w:p>
      <w:r>
        <w:t>FR: ATF 145 III 299</w:t>
      </w:r>
    </w:p>
    <w:p>
      <w:r>
        <w:t>IT: DTF 145 III 299</w:t>
      </w:r>
    </w:p>
    <w:p>
      <w:pPr>
        <w:pStyle w:val="Heading2"/>
      </w:pPr>
      <w:r>
        <w:t>Regeste</w:t>
      </w:r>
    </w:p>
    <w:p>
      <w:r>
        <w:t>Regeste Teilklage und negative Feststellungswiderklage (Art. 86 und 224 ZPO). Die Ausnahme vom Erfordernis der gleichen Verfahrensart gemäss Art. 224 Abs. 1 ZPO für negative Feststellungswiderklagen ist nicht auf den Fall beschränkt, dass es sich bei der Hauptklage um eine sogenannte echte Teilklage handelt, sondern gilt allgemein dann, wenn die Teilklage eine Ungewissheit zur Folge hat, die es rechtfertigt, die Feststellung des Nichtbestands einer Forderung oder eines Rechtsverhältnisses zu verlangen (E. 2).</w:t>
      </w:r>
    </w:p>
    <w:p>
      <w:pPr>
        <w:pStyle w:val="Heading2"/>
      </w:pPr>
      <w:r>
        <w:t>Erwägungen</w:t>
      </w:r>
    </w:p>
    <w:p>
      <w:r>
        <w:rPr>
          <w:b/>
        </w:rPr>
        <w:t>E. 2.1</w:t>
      </w:r>
    </w:p>
    <w:p>
      <w:r>
        <w:t>Laut Art. 224 Abs. 1 ZPO kann die beklagte Partei in der Klageantwort Widerklage erheben, wenn der geltend gemachte Anspruch nach der gleichen Verfahrensart wie die Hauptklage zu beurteilen ist. Mit Blick auf diese Bestimmung ist es nach BGE 143 III 506 E. 3 grundsätzlich nicht zulässig, im vereinfachten Verfahren eine Widerklage zu erheben, die aufgrund ihres Streitwerts von über Fr. 30'000.- (siehe Art. 243 Abs. 1 ZPO ) in den Geltungsbereich des ordentlichen Verfahrens fällt. In Erwägung 4 desselben Urteils hat das Bundesgericht aber auch entschieden, dass das Gesagte nicht gelte, wenn die beklagte Partei "als Reaktion auf eine echte Teilklage" eine negative Feststellungswiderklage erhebe, auch wenn deren Streitwert die Anwendbarkeit des ordentlichen Verfahrens zur Folge habe.</w:t>
      </w:r>
    </w:p>
    <w:p>
      <w:r>
        <w:rPr>
          <w:b/>
        </w:rPr>
        <w:t>E. 2.2</w:t>
      </w:r>
    </w:p>
    <w:p>
      <w:r>
        <w:t>Ausgehend von dieser Rechtsprechung beurteilte die Vorinstanz die negative Feststellungswiderklage der Beschwerdeführerin als unzulässig. Sie erwog, die Beschwerdegegnerin mache insgesamt drei Forderungen betreffend Überzeitentschädigung für drei verschiedene Zeitabschnitte geltend, konkret für die Jahre 2014-2016, wobei sie jedoch nur diejenige für das Jahr 2016 eingeklagt habe. Die Ansprüche hätten ihre Grundlage zwar alle in demselben Arbeitsvertrag, beträfen "aber jeweils unterschiedliche Perioden und damit BGE 145 III 299 S. 301 verschiedene Lebenssachverhalte". Folglich handle es sich bei ihnen um drei separate, eigenständige Ansprüche. Da die Beschwerdegegnerin mit ihrer Klage "einen individualisierbaren Anspruch des Gesamtbetrages" geltend mache, liege eine unechte Teilklage vor, und die negative Feststellungswiderklage der Beschwerdeführerin sei aufgrund ihres Streitwerts von über Fr. 30'000.-unzulässig. Die Beschwerdeführerin hält diese Auffassung für bundesrechtswidrig.</w:t>
      </w:r>
    </w:p>
    <w:p>
      <w:r>
        <w:rPr>
          <w:b/>
        </w:rPr>
        <w:t>E. 2.3</w:t>
      </w:r>
    </w:p>
    <w:p>
      <w:r>
        <w:t>Im Nachgang zu BGE 143 III 506 wurde in der Literatur kritisch angemerkt, dass das Bundesgericht die Ausnahme von Art. 224 Abs. 1 ZPO zwar auf echte Teilklagen beschränke, sich aber nicht dazu äussere, nach welchen Kriterien solche von unechten Teilklagen zu unterscheiden seien (so etwa BOOG, Echte Teilklage im vereinfachten Verfahren und negative Feststellungswiderklage [...], 2018, S. 73 Rz. 123; WAGNER/SCHMID, Die Teilklage [im vereinfachten Verfahren] kommt nicht zur Ruhe, HAVE 2018 S. 177 f.; je mit weiteren Hinweisen; vgl. auch RHINER/WOHLGEMUTH, AJP 2018 S. 113). Im Verfahren, das zum genannten Entscheid geführt hat, verlangte der Kläger, die Beklagte sei zu verurteilen, ihm "vom zwischen dem 1. Juli 2003 und dem 31. Dezember 2012 entstandenen Direktschaden aus Erwerb, Haushalt, Kosten und Genugtuung" Fr. 30'000.- nebst Zins zu bezahlen. Mit anderen Worten forderte er einen betragsmässig beschränkten Teil seines gesamten aus einer Körperverletzung resultierenden Schadens. Das Bundesgericht ging ausdrücklich davon aus, dass es sich dabei um eine sogenannte echte Teilklage handle (E. 4.1). In BGE 143 III 254 , auf den es in diesem Zusammenhang verwies, hatte das Bundesgericht nämlich zur Unterscheidung zwischen echter und unechter Teilklage ausgeführt, mit der echten Teilklage werde nach der Lehre "ein quantitativer Teilbetrag aus dem gesamten Anspruch" eingeklagt, wogegen die klagende Partei bei der unechten Teilklage "einen individualisierbaren Anspruch des Gesamtbetrages" beanspruche (E. 3.4). Die Abgrenzung zwischen echter und unechter Teilklage wurde dort allerdings nicht mit Blick auf eine negative Feststellungswiderklage erwähnt, sondern hinsichtlich der Frage der Bestimmtheit des klägerischen Rechtsbegehrens. Zu beachten ist, dass das Bundesgericht seither auf das in BGE 142 III 683 formulierte Erfordernis verzichtet hat, dass immer, wenn mehrere Ansprüche in einer Klage gehäuft werden, davon aber bloss ein Teil eingeklagt wird, in der Klage zu präzisieren ist, in welcher Reihenfolge und/oder in welchem Umfang die einzelnen BGE 145 III 299 S. 302 Ansprüche geltend gemacht werden. Es wird lediglich noch verlangt, dass die klagende Partei hinreichend substanziiert behauptet, es bestehe eine den eingeklagten Betrag übersteigende Forderung ( BGE 144 III 452 E. 2.4; siehe seither auch Urteil 4A_342/2018 vom 21. November 2018 E. 2.3.2). Auch im hier interessierenden Zusammenhang, das heisst bei der Frage nach der Zulässigkeit der negativen Feststellungswiderklage, kommt der heiklen Abgrenzung von Streitgegenständen nicht die Bedeutung zu, die ihr die Vorinstanz zumisst: Wenn das Bundesgericht in BGE 143 III 506 darauf hingewiesen hat, dass es sich um eine sogenannte echte Teilklage handle, dann deshalb, weil in solchen Fällen - etwa bei einer Klage auf Bezahlung eines vom Kläger einzig betragsmässig beschränkten Teils einer Kaufpreisforderung (siehe zum Beispiel Urteil 4A_366/2017 vom 17. Mai 2018 E. 5.2) - das Interesse der beklagten Partei an der negativen Feststellungswiderklage auf der Hand liegt, zumal sie den Streitgegenstand nicht anderweitig rechtshängig machen kann ( Art. 64 Abs. 1 lit. a und Art. 59 Abs. 2 lit. d ZPO ). Indessen ist die Ausnahme vom Erfordernis der gleichen Verfahrensart gemäss Art. 224 Abs. 1 ZPO nicht auf diesen Fall beschränkt, sondern gilt allgemein dann, wenn die Teilklage eine Ungewissheit zur Folge hat, die es rechtfertigt, im Sinne von Art. 88 ZPO die Feststellung des Nichtbestands einer Forderung oder eines Rechtsverhältnisses zu verlangen.</w:t>
      </w:r>
    </w:p>
    <w:p>
      <w:r>
        <w:rPr>
          <w:b/>
        </w:rPr>
        <w:t>E. 2.4</w:t>
      </w:r>
    </w:p>
    <w:p>
      <w:r>
        <w:t>Vorliegend ist dies offensichtlich der Fall: Die Beschwerdegegnerin hat in ihrer Klageschrift vom 14. Dezember 2017 behauptet, es stehe ihr eine "Gesamtforderung aus Überzeitentschädigungen aus den Jahren 2014, 2015 und 2016 im Umfang von CHF 51'850.-" zu, jedoch unter ausdrücklichen Nachklagevorbehalt lediglich die Überzeitentschädigung für das Jahr 2016 im Umfang von Fr. 14'981.25 eingeklagt. In dieser Situation muss es der Beschwerdeführerin möglich sein, mittels negativer Feststellungswiderklage auch die Überzeitentschädigung aus den Jahren 2014 und 2015 im selben Verfahren zur Beurteilung zu bringen, gerade weil sich gemäss den Ausführungen der Vorinstanz die Frage der Kompensation von Überzeit aus den Vorjahren stellt (vgl. allgemein Urteil C.214/1987 vom 21. Juni 1988 E. 1d, nicht publ. in: BGE 114 II 279 , aber in: SJ 1988 S. 609). Ob die Entschädigung für die während eines bestimmten Kalenderjahrs angeblich geleistete Überzeit einen selbständigen Streitgegenstand darstellt, ist entgegen der Vorinstanz und der Beschwerdegegnerin nicht entscheidend. BGE 145 III 299 S. 303 Demnach steht Art. 224 Abs. 1 ZPO dem Eintreten auf die Widerklage der Beschwerdeführerin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